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1E1A" w14:textId="77777777" w:rsidR="00381C31" w:rsidRPr="00381C31" w:rsidRDefault="00381C31" w:rsidP="00381C31">
      <w:pPr>
        <w:rPr>
          <w:rFonts w:ascii="Arial" w:hAnsi="Arial" w:cs="Arial"/>
        </w:rPr>
      </w:pP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9"/>
        <w:gridCol w:w="5928"/>
      </w:tblGrid>
      <w:tr w:rsidR="00381C31" w:rsidRPr="00381C31" w14:paraId="72C5106B" w14:textId="77777777" w:rsidTr="00381C31">
        <w:trPr>
          <w:trHeight w:val="110"/>
        </w:trPr>
        <w:tc>
          <w:tcPr>
            <w:tcW w:w="974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75EAC2D" w14:textId="7D0D0E90" w:rsidR="00381C31" w:rsidRPr="00247E62" w:rsidRDefault="00381C31" w:rsidP="00381C3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381C31">
              <w:rPr>
                <w:rFonts w:ascii="Arial" w:hAnsi="Arial" w:cs="Arial"/>
              </w:rPr>
              <w:t xml:space="preserve">Na podlagi 8. člena Zakona o dostopu do informacij javnega značaja (ZDIJZ) (Uradni list RS, št. 51/06 – uradno prečiščeno besedilo, 117/06 – ZDavP-2, 23/14, 50/14, 19/15 – </w:t>
            </w:r>
            <w:proofErr w:type="spellStart"/>
            <w:r w:rsidRPr="00381C31">
              <w:rPr>
                <w:rFonts w:ascii="Arial" w:hAnsi="Arial" w:cs="Arial"/>
              </w:rPr>
              <w:t>odl</w:t>
            </w:r>
            <w:proofErr w:type="spellEnd"/>
            <w:r w:rsidRPr="00381C31">
              <w:rPr>
                <w:rFonts w:ascii="Arial" w:hAnsi="Arial" w:cs="Arial"/>
              </w:rPr>
              <w:t xml:space="preserve">. US, 102/15 in 7/18) odgovorna oseba, </w:t>
            </w:r>
            <w:r w:rsidRPr="00247E62">
              <w:rPr>
                <w:rFonts w:ascii="Arial" w:hAnsi="Arial" w:cs="Arial"/>
                <w:b/>
                <w:bCs/>
              </w:rPr>
              <w:t xml:space="preserve">Lidija </w:t>
            </w:r>
            <w:proofErr w:type="spellStart"/>
            <w:r w:rsidRPr="00247E62">
              <w:rPr>
                <w:rFonts w:ascii="Arial" w:hAnsi="Arial" w:cs="Arial"/>
                <w:b/>
                <w:bCs/>
              </w:rPr>
              <w:t>Đogić</w:t>
            </w:r>
            <w:proofErr w:type="spellEnd"/>
            <w:r w:rsidRPr="00381C31">
              <w:rPr>
                <w:rFonts w:ascii="Arial" w:hAnsi="Arial" w:cs="Arial"/>
              </w:rPr>
              <w:t xml:space="preserve">, ravnateljica </w:t>
            </w:r>
            <w:r w:rsidRPr="00247E62">
              <w:rPr>
                <w:rFonts w:ascii="Arial" w:hAnsi="Arial" w:cs="Arial"/>
                <w:b/>
                <w:bCs/>
              </w:rPr>
              <w:t>Strokovnega centra Višnja Gora</w:t>
            </w:r>
            <w:r w:rsidRPr="00381C31">
              <w:rPr>
                <w:rFonts w:ascii="Arial" w:hAnsi="Arial" w:cs="Arial"/>
              </w:rPr>
              <w:t xml:space="preserve">, izdajam </w:t>
            </w:r>
            <w:r w:rsidRPr="00381C31">
              <w:rPr>
                <w:rFonts w:ascii="Arial" w:hAnsi="Arial" w:cs="Arial"/>
                <w:b/>
                <w:bCs/>
              </w:rPr>
              <w:t>katalog informacij javnega značaja</w:t>
            </w:r>
            <w:r w:rsidRPr="00247E62">
              <w:rPr>
                <w:rFonts w:ascii="Arial" w:hAnsi="Arial" w:cs="Arial"/>
                <w:b/>
                <w:bCs/>
              </w:rPr>
              <w:t>,</w:t>
            </w:r>
            <w:r w:rsidRPr="00381C31">
              <w:rPr>
                <w:rFonts w:ascii="Arial" w:hAnsi="Arial" w:cs="Arial"/>
                <w:b/>
                <w:bCs/>
              </w:rPr>
              <w:t xml:space="preserve"> </w:t>
            </w:r>
            <w:r w:rsidRPr="00381C31">
              <w:rPr>
                <w:rFonts w:ascii="Arial" w:hAnsi="Arial" w:cs="Arial"/>
              </w:rPr>
              <w:t xml:space="preserve">s katerimi organ po vsebinskih sklopih razpolaga. </w:t>
            </w:r>
          </w:p>
          <w:p w14:paraId="2E50BDDF" w14:textId="77777777" w:rsidR="00381C31" w:rsidRPr="00381C31" w:rsidRDefault="00381C31" w:rsidP="00381C31">
            <w:pPr>
              <w:rPr>
                <w:rFonts w:ascii="Arial" w:hAnsi="Arial" w:cs="Arial"/>
              </w:rPr>
            </w:pPr>
          </w:p>
          <w:p w14:paraId="4EF04648" w14:textId="6A90F079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  <w:b/>
                <w:bCs/>
              </w:rPr>
              <w:t xml:space="preserve">1. Osnovni podatki o katalogu </w:t>
            </w:r>
          </w:p>
        </w:tc>
      </w:tr>
      <w:tr w:rsidR="00381C31" w:rsidRPr="00381C31" w14:paraId="0E031932" w14:textId="77777777" w:rsidTr="00381C31">
        <w:trPr>
          <w:trHeight w:val="110"/>
        </w:trPr>
        <w:tc>
          <w:tcPr>
            <w:tcW w:w="38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13D807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Naziv organa: </w:t>
            </w:r>
          </w:p>
        </w:tc>
        <w:tc>
          <w:tcPr>
            <w:tcW w:w="592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534176" w14:textId="7365847B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Strokovni center </w:t>
            </w:r>
            <w:r w:rsidRPr="00247E62">
              <w:rPr>
                <w:rFonts w:ascii="Arial" w:hAnsi="Arial" w:cs="Arial"/>
              </w:rPr>
              <w:t>Višnja Gora</w:t>
            </w:r>
          </w:p>
        </w:tc>
      </w:tr>
      <w:tr w:rsidR="00381C31" w:rsidRPr="00381C31" w14:paraId="7B190E45" w14:textId="77777777" w:rsidTr="00381C31">
        <w:trPr>
          <w:trHeight w:val="110"/>
        </w:trPr>
        <w:tc>
          <w:tcPr>
            <w:tcW w:w="38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EA5806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Naslov organa: </w:t>
            </w:r>
          </w:p>
        </w:tc>
        <w:tc>
          <w:tcPr>
            <w:tcW w:w="592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3FB53F" w14:textId="76755F7B" w:rsidR="00381C31" w:rsidRPr="00381C31" w:rsidRDefault="00381C31" w:rsidP="00381C3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Cesta Dolenjskega odreda 19, </w:t>
            </w:r>
            <w:r w:rsidRPr="00381C31">
              <w:rPr>
                <w:rFonts w:ascii="Arial" w:hAnsi="Arial" w:cs="Arial"/>
              </w:rPr>
              <w:t xml:space="preserve"> </w:t>
            </w:r>
            <w:r w:rsidRPr="00247E62">
              <w:rPr>
                <w:rFonts w:ascii="Arial" w:hAnsi="Arial" w:cs="Arial"/>
              </w:rPr>
              <w:t>1294 Višnja Gora</w:t>
            </w:r>
          </w:p>
        </w:tc>
      </w:tr>
      <w:tr w:rsidR="00381C31" w:rsidRPr="00381C31" w14:paraId="21446D21" w14:textId="77777777" w:rsidTr="00381C31">
        <w:trPr>
          <w:trHeight w:val="110"/>
        </w:trPr>
        <w:tc>
          <w:tcPr>
            <w:tcW w:w="38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456BD9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Odgovorna uradna oseba: </w:t>
            </w:r>
          </w:p>
        </w:tc>
        <w:tc>
          <w:tcPr>
            <w:tcW w:w="592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472433" w14:textId="6D9CF032" w:rsidR="00381C31" w:rsidRPr="00381C31" w:rsidRDefault="00381C31" w:rsidP="00381C3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Lidija </w:t>
            </w:r>
            <w:proofErr w:type="spellStart"/>
            <w:r w:rsidRPr="00247E62">
              <w:rPr>
                <w:rFonts w:ascii="Arial" w:hAnsi="Arial" w:cs="Arial"/>
              </w:rPr>
              <w:t>Đogić</w:t>
            </w:r>
            <w:proofErr w:type="spellEnd"/>
            <w:r w:rsidRPr="00381C31">
              <w:rPr>
                <w:rFonts w:ascii="Arial" w:hAnsi="Arial" w:cs="Arial"/>
              </w:rPr>
              <w:t xml:space="preserve">, ravnateljica </w:t>
            </w:r>
          </w:p>
        </w:tc>
      </w:tr>
      <w:tr w:rsidR="00381C31" w:rsidRPr="00381C31" w14:paraId="34E90EC6" w14:textId="77777777" w:rsidTr="00381C31">
        <w:trPr>
          <w:trHeight w:val="110"/>
        </w:trPr>
        <w:tc>
          <w:tcPr>
            <w:tcW w:w="38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1B5218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Datum prve objave kataloga: </w:t>
            </w:r>
          </w:p>
        </w:tc>
        <w:tc>
          <w:tcPr>
            <w:tcW w:w="592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295686" w14:textId="751BD130" w:rsidR="00381C31" w:rsidRPr="00381C31" w:rsidRDefault="00381C31" w:rsidP="00381C3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6</w:t>
            </w:r>
            <w:r w:rsidRPr="00381C31">
              <w:rPr>
                <w:rFonts w:ascii="Arial" w:hAnsi="Arial" w:cs="Arial"/>
              </w:rPr>
              <w:t xml:space="preserve">. </w:t>
            </w:r>
            <w:r w:rsidRPr="00247E62">
              <w:rPr>
                <w:rFonts w:ascii="Arial" w:hAnsi="Arial" w:cs="Arial"/>
              </w:rPr>
              <w:t>5</w:t>
            </w:r>
            <w:r w:rsidRPr="00381C31">
              <w:rPr>
                <w:rFonts w:ascii="Arial" w:hAnsi="Arial" w:cs="Arial"/>
              </w:rPr>
              <w:t>. 202</w:t>
            </w:r>
            <w:r w:rsidRPr="00247E62">
              <w:rPr>
                <w:rFonts w:ascii="Arial" w:hAnsi="Arial" w:cs="Arial"/>
              </w:rPr>
              <w:t>5</w:t>
            </w:r>
            <w:r w:rsidRPr="00381C31">
              <w:rPr>
                <w:rFonts w:ascii="Arial" w:hAnsi="Arial" w:cs="Arial"/>
              </w:rPr>
              <w:t xml:space="preserve"> </w:t>
            </w:r>
          </w:p>
        </w:tc>
      </w:tr>
      <w:tr w:rsidR="00381C31" w:rsidRPr="00381C31" w14:paraId="59C9A1B3" w14:textId="77777777" w:rsidTr="00381C31">
        <w:trPr>
          <w:trHeight w:val="110"/>
        </w:trPr>
        <w:tc>
          <w:tcPr>
            <w:tcW w:w="38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E88F54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Datum zadnje spremembe: </w:t>
            </w:r>
          </w:p>
        </w:tc>
        <w:tc>
          <w:tcPr>
            <w:tcW w:w="592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CF7BB5" w14:textId="500F9A77" w:rsidR="00381C31" w:rsidRPr="00381C31" w:rsidRDefault="00381C31" w:rsidP="00381C3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6</w:t>
            </w:r>
            <w:r w:rsidRPr="00381C31">
              <w:rPr>
                <w:rFonts w:ascii="Arial" w:hAnsi="Arial" w:cs="Arial"/>
              </w:rPr>
              <w:t xml:space="preserve">. </w:t>
            </w:r>
            <w:r w:rsidRPr="00247E62">
              <w:rPr>
                <w:rFonts w:ascii="Arial" w:hAnsi="Arial" w:cs="Arial"/>
              </w:rPr>
              <w:t>5</w:t>
            </w:r>
            <w:r w:rsidRPr="00381C31">
              <w:rPr>
                <w:rFonts w:ascii="Arial" w:hAnsi="Arial" w:cs="Arial"/>
              </w:rPr>
              <w:t>. 202</w:t>
            </w:r>
            <w:r w:rsidRPr="00247E62">
              <w:rPr>
                <w:rFonts w:ascii="Arial" w:hAnsi="Arial" w:cs="Arial"/>
              </w:rPr>
              <w:t>5</w:t>
            </w:r>
            <w:r w:rsidRPr="00381C31">
              <w:rPr>
                <w:rFonts w:ascii="Arial" w:hAnsi="Arial" w:cs="Arial"/>
              </w:rPr>
              <w:t xml:space="preserve"> </w:t>
            </w:r>
          </w:p>
        </w:tc>
      </w:tr>
      <w:tr w:rsidR="00381C31" w:rsidRPr="00381C31" w14:paraId="08AF73EB" w14:textId="77777777" w:rsidTr="00381C31">
        <w:trPr>
          <w:trHeight w:val="243"/>
        </w:trPr>
        <w:tc>
          <w:tcPr>
            <w:tcW w:w="38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4D2CCA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Katalog je dostopen na spletnem naslovu: </w:t>
            </w:r>
          </w:p>
        </w:tc>
        <w:tc>
          <w:tcPr>
            <w:tcW w:w="592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BC1647" w14:textId="18BD7DBE" w:rsidR="00381C31" w:rsidRPr="00381C31" w:rsidRDefault="00381C31" w:rsidP="00381C3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https://www.vizvisnjagora.si/</w:t>
            </w:r>
          </w:p>
        </w:tc>
      </w:tr>
      <w:tr w:rsidR="00381C31" w:rsidRPr="00381C31" w14:paraId="4502F0E1" w14:textId="77777777" w:rsidTr="00381C31">
        <w:trPr>
          <w:trHeight w:val="110"/>
        </w:trPr>
        <w:tc>
          <w:tcPr>
            <w:tcW w:w="38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FEB4D8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Druge oblike kataloga: </w:t>
            </w:r>
          </w:p>
        </w:tc>
        <w:tc>
          <w:tcPr>
            <w:tcW w:w="592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6C9E55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Katalog je dostopen na sedežu organa v tiskani verziji. </w:t>
            </w:r>
          </w:p>
        </w:tc>
      </w:tr>
    </w:tbl>
    <w:p w14:paraId="08B20DF7" w14:textId="77777777" w:rsidR="00381C31" w:rsidRPr="00381C31" w:rsidRDefault="00381C31" w:rsidP="00381C31">
      <w:pPr>
        <w:rPr>
          <w:rFonts w:ascii="Arial" w:hAnsi="Arial" w:cs="Arial"/>
        </w:rPr>
      </w:pP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8"/>
        <w:gridCol w:w="8"/>
        <w:gridCol w:w="5038"/>
      </w:tblGrid>
      <w:tr w:rsidR="00381C31" w:rsidRPr="00381C31" w14:paraId="563803FF" w14:textId="77777777" w:rsidTr="003C03D2">
        <w:trPr>
          <w:trHeight w:val="110"/>
        </w:trPr>
        <w:tc>
          <w:tcPr>
            <w:tcW w:w="9464" w:type="dxa"/>
            <w:gridSpan w:val="3"/>
          </w:tcPr>
          <w:p w14:paraId="31CE6651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 </w:t>
            </w:r>
            <w:r w:rsidRPr="00381C31">
              <w:rPr>
                <w:rFonts w:ascii="Arial" w:hAnsi="Arial" w:cs="Arial"/>
                <w:b/>
                <w:bCs/>
              </w:rPr>
              <w:t xml:space="preserve">2. Splošni podatki o organu in informacijah javnega značaja s katerimi razpolaga </w:t>
            </w:r>
          </w:p>
        </w:tc>
      </w:tr>
      <w:tr w:rsidR="00381C31" w:rsidRPr="00381C31" w14:paraId="5B3479DE" w14:textId="77777777" w:rsidTr="003C03D2">
        <w:trPr>
          <w:trHeight w:val="110"/>
        </w:trPr>
        <w:tc>
          <w:tcPr>
            <w:tcW w:w="9464" w:type="dxa"/>
            <w:gridSpan w:val="3"/>
          </w:tcPr>
          <w:p w14:paraId="3DFE2DEC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  <w:b/>
                <w:bCs/>
              </w:rPr>
              <w:t xml:space="preserve">2.a Organigram in podatki o organizaciji organa </w:t>
            </w:r>
          </w:p>
        </w:tc>
      </w:tr>
      <w:tr w:rsidR="00381C31" w:rsidRPr="00381C31" w14:paraId="4A8291B1" w14:textId="77777777" w:rsidTr="003C03D2">
        <w:trPr>
          <w:trHeight w:val="1453"/>
        </w:trPr>
        <w:tc>
          <w:tcPr>
            <w:tcW w:w="4418" w:type="dxa"/>
          </w:tcPr>
          <w:p w14:paraId="07343044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Kratek opis delovnega področja organa: </w:t>
            </w:r>
          </w:p>
        </w:tc>
        <w:tc>
          <w:tcPr>
            <w:tcW w:w="5046" w:type="dxa"/>
            <w:gridSpan w:val="2"/>
          </w:tcPr>
          <w:p w14:paraId="64594E48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>Skrbimo za posameznika, spodbujamo njegova močna področja in mu pomagamo pri premagovanju ovir. Mladostnika-dijaka pripravljamo na samostojno življenje. Razvijamo in spodbujamo spoštovanje različnosti. Zavzemamo se za medsebojno strpnost, odprtost cele institucije v širši regijski in preko različnih projektov, tudi v mednarodni prostor.</w:t>
            </w:r>
          </w:p>
          <w:p w14:paraId="782C426B" w14:textId="1169D339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>Zagotavlja</w:t>
            </w:r>
            <w:r w:rsidRPr="00247E62">
              <w:rPr>
                <w:rFonts w:ascii="Arial" w:hAnsi="Arial" w:cs="Arial"/>
              </w:rPr>
              <w:t>mo</w:t>
            </w:r>
            <w:r w:rsidRPr="00381C31">
              <w:rPr>
                <w:rFonts w:ascii="Arial" w:hAnsi="Arial" w:cs="Arial"/>
              </w:rPr>
              <w:t xml:space="preserve"> domsko varstvo s celodnevno oskrbo, nego, vzgojo ter pomočjo pri izobraževanju in usposabljanju otrok in mladostnikov s posebnimi potrebami. </w:t>
            </w:r>
          </w:p>
          <w:p w14:paraId="54FCF908" w14:textId="569A42AE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lastRenderedPageBreak/>
              <w:t>Izvaja</w:t>
            </w:r>
            <w:r w:rsidRPr="00247E62">
              <w:rPr>
                <w:rFonts w:ascii="Arial" w:hAnsi="Arial" w:cs="Arial"/>
              </w:rPr>
              <w:t>mo</w:t>
            </w:r>
            <w:r w:rsidRPr="00381C31">
              <w:rPr>
                <w:rFonts w:ascii="Arial" w:hAnsi="Arial" w:cs="Arial"/>
              </w:rPr>
              <w:t xml:space="preserve"> programe vzgoje in izobraževanja ter usposabljanja, s katerimi se vključuje v proces odpravljanja oz. zmanjševanja posledic motenj v razvoju ter razvija sposobnosti otrok in mladostnikov, ki so vključeni v dom. </w:t>
            </w:r>
          </w:p>
          <w:p w14:paraId="07EA92FC" w14:textId="6077C10A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>Izvaja</w:t>
            </w:r>
            <w:r w:rsidRPr="00247E62">
              <w:rPr>
                <w:rFonts w:ascii="Arial" w:hAnsi="Arial" w:cs="Arial"/>
              </w:rPr>
              <w:t>mo</w:t>
            </w:r>
            <w:r w:rsidRPr="00381C31">
              <w:rPr>
                <w:rFonts w:ascii="Arial" w:hAnsi="Arial" w:cs="Arial"/>
              </w:rPr>
              <w:t xml:space="preserve"> dejavnosti, s katerimi se vključuje v proces usposabljanja otrok in mladostnikov za aktivno vključevanje v življenje v skladu z njihovimi sposobnostmi. </w:t>
            </w:r>
          </w:p>
          <w:p w14:paraId="4D157050" w14:textId="747C22F6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>Zagotavlja</w:t>
            </w:r>
            <w:r w:rsidR="00A310A1" w:rsidRPr="00247E62">
              <w:rPr>
                <w:rFonts w:ascii="Arial" w:hAnsi="Arial" w:cs="Arial"/>
              </w:rPr>
              <w:t>mo</w:t>
            </w:r>
            <w:r w:rsidRPr="00381C31">
              <w:rPr>
                <w:rFonts w:ascii="Arial" w:hAnsi="Arial" w:cs="Arial"/>
              </w:rPr>
              <w:t xml:space="preserve"> pomoč svetovalnih, zdravstvenih in drugih strokovnih služb. </w:t>
            </w:r>
          </w:p>
        </w:tc>
      </w:tr>
      <w:tr w:rsidR="00381C31" w:rsidRPr="00381C31" w14:paraId="376086F8" w14:textId="77777777" w:rsidTr="003C03D2">
        <w:trPr>
          <w:trHeight w:val="2259"/>
        </w:trPr>
        <w:tc>
          <w:tcPr>
            <w:tcW w:w="4418" w:type="dxa"/>
          </w:tcPr>
          <w:p w14:paraId="0E1C0AF8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lastRenderedPageBreak/>
              <w:t xml:space="preserve">Seznam vseh enot: </w:t>
            </w:r>
          </w:p>
        </w:tc>
        <w:tc>
          <w:tcPr>
            <w:tcW w:w="5046" w:type="dxa"/>
            <w:gridSpan w:val="2"/>
          </w:tcPr>
          <w:p w14:paraId="1CBE41E2" w14:textId="7B6A3A92" w:rsidR="00ED57FD" w:rsidRPr="00247E62" w:rsidRDefault="00381C31" w:rsidP="00A310A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- </w:t>
            </w:r>
            <w:r w:rsidR="00ED57FD" w:rsidRPr="00247E62">
              <w:rPr>
                <w:rFonts w:ascii="Arial" w:hAnsi="Arial" w:cs="Arial"/>
              </w:rPr>
              <w:t>1. vzgojna skupina, Dedni Dol 33, Višnja Gora</w:t>
            </w:r>
          </w:p>
          <w:p w14:paraId="2DCEC017" w14:textId="28775625" w:rsidR="00ED57FD" w:rsidRPr="00247E62" w:rsidRDefault="00ED57FD" w:rsidP="00A310A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- 2. vzgojna skupina, Ciglerjeva 18, Višnja Gora</w:t>
            </w:r>
          </w:p>
          <w:p w14:paraId="28A05E5B" w14:textId="3C086AF0" w:rsidR="00ED57FD" w:rsidRPr="00247E62" w:rsidRDefault="00ED57FD" w:rsidP="00A310A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- 3. vzgojna skupina, Cesta Dolenjskega odreda 19 C, Višnja Gora</w:t>
            </w:r>
          </w:p>
          <w:p w14:paraId="419A23E6" w14:textId="472B1259" w:rsidR="00ED57FD" w:rsidRPr="00247E62" w:rsidRDefault="00ED57FD" w:rsidP="00A310A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- 4. vzgojna skupina, Cesta Dolenjskega odreda 17, Višnja Gora</w:t>
            </w:r>
          </w:p>
          <w:p w14:paraId="4485ABD5" w14:textId="1B20AA32" w:rsidR="00ED57FD" w:rsidRPr="00247E62" w:rsidRDefault="00ED57FD" w:rsidP="00A310A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- 5. vzgojna skupina, Cesta Dolenjskega odreda 19 B, Višnja Gora</w:t>
            </w:r>
          </w:p>
          <w:p w14:paraId="6DC10694" w14:textId="58F319D4" w:rsidR="00ED57FD" w:rsidRPr="00247E62" w:rsidRDefault="00ED57FD" w:rsidP="00A310A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- STS Ljubljana Brod, Na rojah 4, Ljubljana Brod</w:t>
            </w:r>
          </w:p>
          <w:p w14:paraId="10C8EEA1" w14:textId="57C00BD2" w:rsidR="00ED57FD" w:rsidRPr="00247E62" w:rsidRDefault="00ED57FD" w:rsidP="00A310A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- STS Brežice, Maistrova ulica 6, Brežice</w:t>
            </w:r>
          </w:p>
          <w:p w14:paraId="7541627D" w14:textId="20338941" w:rsidR="00ED57FD" w:rsidRPr="00247E62" w:rsidRDefault="00ED57FD" w:rsidP="00A310A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</w:t>
            </w:r>
            <w:proofErr w:type="spellStart"/>
            <w:r w:rsidRPr="00247E62">
              <w:rPr>
                <w:rFonts w:ascii="Arial" w:hAnsi="Arial" w:cs="Arial"/>
              </w:rPr>
              <w:t>Poodpustna</w:t>
            </w:r>
            <w:proofErr w:type="spellEnd"/>
            <w:r w:rsidRPr="00247E62">
              <w:rPr>
                <w:rFonts w:ascii="Arial" w:hAnsi="Arial" w:cs="Arial"/>
              </w:rPr>
              <w:t xml:space="preserve"> skupina NM, Smrečnikova ulica 2, Novo mesto</w:t>
            </w:r>
          </w:p>
          <w:p w14:paraId="52E39EAA" w14:textId="558A7BDF" w:rsidR="00ED57FD" w:rsidRPr="00381C31" w:rsidRDefault="00ED57FD" w:rsidP="00A310A1">
            <w:pPr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- Intenzivna skupina NM, Nad mlini 56, Novo mesto</w:t>
            </w:r>
          </w:p>
          <w:p w14:paraId="1F205B6F" w14:textId="5C95E2AA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 </w:t>
            </w:r>
          </w:p>
        </w:tc>
      </w:tr>
      <w:tr w:rsidR="00381C31" w:rsidRPr="00381C31" w14:paraId="721D0020" w14:textId="77777777" w:rsidTr="003C03D2">
        <w:trPr>
          <w:trHeight w:val="379"/>
        </w:trPr>
        <w:tc>
          <w:tcPr>
            <w:tcW w:w="4418" w:type="dxa"/>
          </w:tcPr>
          <w:p w14:paraId="0D26A32D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Organi zavoda: </w:t>
            </w:r>
          </w:p>
        </w:tc>
        <w:tc>
          <w:tcPr>
            <w:tcW w:w="5046" w:type="dxa"/>
            <w:gridSpan w:val="2"/>
          </w:tcPr>
          <w:p w14:paraId="1E4EA8FA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- Svet zavoda </w:t>
            </w:r>
          </w:p>
          <w:p w14:paraId="4AB53811" w14:textId="6638141E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>- Ravnatelj</w:t>
            </w:r>
            <w:r w:rsidR="00A310A1" w:rsidRPr="00247E62">
              <w:rPr>
                <w:rFonts w:ascii="Arial" w:hAnsi="Arial" w:cs="Arial"/>
              </w:rPr>
              <w:t>ica zavoda</w:t>
            </w:r>
            <w:r w:rsidRPr="00381C31">
              <w:rPr>
                <w:rFonts w:ascii="Arial" w:hAnsi="Arial" w:cs="Arial"/>
              </w:rPr>
              <w:t xml:space="preserve"> </w:t>
            </w:r>
          </w:p>
          <w:p w14:paraId="2534B553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- Sindikat </w:t>
            </w:r>
          </w:p>
        </w:tc>
      </w:tr>
      <w:tr w:rsidR="00381C31" w:rsidRPr="00247E62" w14:paraId="76080825" w14:textId="77777777" w:rsidTr="003C03D2">
        <w:trPr>
          <w:trHeight w:val="110"/>
        </w:trPr>
        <w:tc>
          <w:tcPr>
            <w:tcW w:w="9464" w:type="dxa"/>
            <w:gridSpan w:val="3"/>
          </w:tcPr>
          <w:p w14:paraId="385A29F2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  <w:b/>
                <w:bCs/>
              </w:rPr>
              <w:t xml:space="preserve">2.b Kontaktni podatki uradne osebe (oseb), pristojnih za posredovanje informacij: </w:t>
            </w:r>
          </w:p>
        </w:tc>
      </w:tr>
      <w:tr w:rsidR="00381C31" w:rsidRPr="00247E62" w14:paraId="78271E83" w14:textId="77777777" w:rsidTr="003C03D2">
        <w:trPr>
          <w:trHeight w:val="648"/>
        </w:trPr>
        <w:tc>
          <w:tcPr>
            <w:tcW w:w="4426" w:type="dxa"/>
            <w:gridSpan w:val="2"/>
          </w:tcPr>
          <w:p w14:paraId="2D2D6E7A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lastRenderedPageBreak/>
              <w:t xml:space="preserve">Pristojna oseba: </w:t>
            </w:r>
          </w:p>
        </w:tc>
        <w:tc>
          <w:tcPr>
            <w:tcW w:w="5038" w:type="dxa"/>
          </w:tcPr>
          <w:p w14:paraId="42F3FBB0" w14:textId="56F1975C" w:rsidR="00381C31" w:rsidRPr="00247E62" w:rsidRDefault="00A310A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Lidija </w:t>
            </w:r>
            <w:proofErr w:type="spellStart"/>
            <w:r w:rsidRPr="00247E62">
              <w:rPr>
                <w:rFonts w:ascii="Arial" w:hAnsi="Arial" w:cs="Arial"/>
              </w:rPr>
              <w:t>Đogić</w:t>
            </w:r>
            <w:proofErr w:type="spellEnd"/>
            <w:r w:rsidR="00381C31" w:rsidRPr="00247E62">
              <w:rPr>
                <w:rFonts w:ascii="Arial" w:hAnsi="Arial" w:cs="Arial"/>
              </w:rPr>
              <w:t xml:space="preserve">, ravnateljica </w:t>
            </w:r>
          </w:p>
          <w:p w14:paraId="250B5FB6" w14:textId="3EAED39F" w:rsidR="00381C31" w:rsidRPr="00247E62" w:rsidRDefault="00A310A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017887700</w:t>
            </w:r>
          </w:p>
          <w:p w14:paraId="4855AF59" w14:textId="42A9738E" w:rsidR="00381C31" w:rsidRPr="00247E62" w:rsidRDefault="00A310A1">
            <w:pPr>
              <w:pStyle w:val="Default"/>
              <w:rPr>
                <w:rFonts w:ascii="Arial" w:hAnsi="Arial" w:cs="Arial"/>
                <w:color w:val="0462C1"/>
              </w:rPr>
            </w:pPr>
            <w:r w:rsidRPr="00247E62">
              <w:rPr>
                <w:rFonts w:ascii="Arial" w:hAnsi="Arial" w:cs="Arial"/>
                <w:color w:val="0462C1"/>
              </w:rPr>
              <w:t>lidija.dzogic@guest.arnes.</w:t>
            </w:r>
            <w:r w:rsidR="00381C31" w:rsidRPr="00247E62">
              <w:rPr>
                <w:rFonts w:ascii="Arial" w:hAnsi="Arial" w:cs="Arial"/>
                <w:color w:val="0462C1"/>
              </w:rPr>
              <w:t xml:space="preserve">si </w:t>
            </w:r>
          </w:p>
          <w:p w14:paraId="1A34D6F4" w14:textId="10A4B0B9" w:rsidR="00381C31" w:rsidRPr="00247E62" w:rsidRDefault="00A310A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Cesta Dolenjskega odreda 19, 1294 Višnja Gora</w:t>
            </w:r>
            <w:r w:rsidR="00381C31" w:rsidRPr="00247E62">
              <w:rPr>
                <w:rFonts w:ascii="Arial" w:hAnsi="Arial" w:cs="Arial"/>
              </w:rPr>
              <w:t xml:space="preserve"> </w:t>
            </w:r>
          </w:p>
        </w:tc>
      </w:tr>
      <w:tr w:rsidR="00381C31" w:rsidRPr="00247E62" w14:paraId="65A62110" w14:textId="77777777" w:rsidTr="003C03D2">
        <w:trPr>
          <w:trHeight w:val="249"/>
        </w:trPr>
        <w:tc>
          <w:tcPr>
            <w:tcW w:w="9464" w:type="dxa"/>
            <w:gridSpan w:val="3"/>
          </w:tcPr>
          <w:p w14:paraId="0FCA798F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  <w:b/>
                <w:bCs/>
              </w:rPr>
              <w:t xml:space="preserve">2.c Seznam zakonov, podzakonskih aktov in predpisov Evropskih skupnosti z delovnega področja organa (preko državnega, lokalnega oziroma evropskega registra predpisov) </w:t>
            </w:r>
          </w:p>
        </w:tc>
      </w:tr>
      <w:tr w:rsidR="00381C31" w:rsidRPr="00247E62" w14:paraId="53676D35" w14:textId="77777777" w:rsidTr="003C03D2">
        <w:trPr>
          <w:trHeight w:val="2666"/>
        </w:trPr>
        <w:tc>
          <w:tcPr>
            <w:tcW w:w="4426" w:type="dxa"/>
            <w:gridSpan w:val="2"/>
          </w:tcPr>
          <w:p w14:paraId="314F52E8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Državni predpisi: </w:t>
            </w:r>
          </w:p>
        </w:tc>
        <w:tc>
          <w:tcPr>
            <w:tcW w:w="5038" w:type="dxa"/>
          </w:tcPr>
          <w:p w14:paraId="77F3526F" w14:textId="77777777" w:rsidR="00ED57FD" w:rsidRPr="00247E62" w:rsidRDefault="00ED57FD" w:rsidP="00ED57FD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– Predpisi z delovnega področja</w:t>
            </w:r>
          </w:p>
          <w:p w14:paraId="4CAE6209" w14:textId="77777777" w:rsidR="00ED57FD" w:rsidRPr="00247E62" w:rsidRDefault="00ED57FD" w:rsidP="00ED57FD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– Register predpisov Slovenije</w:t>
            </w:r>
          </w:p>
          <w:p w14:paraId="55385BAF" w14:textId="1E21650D" w:rsidR="00B169B1" w:rsidRPr="00B169B1" w:rsidRDefault="00ED57FD" w:rsidP="00ED57FD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Zakoni s področja dela urada:</w:t>
            </w:r>
          </w:p>
          <w:p w14:paraId="6E222316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Zakon o obravnavi otrok in mladostnikov s čustvenimi in vedenjskimi težavami in motnjami</w:t>
            </w:r>
          </w:p>
          <w:p w14:paraId="2EA8ED04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Zakon o organizaciji in financiranju  vzgoje in izobraževanja</w:t>
            </w:r>
          </w:p>
          <w:p w14:paraId="21998D32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Zakon o osnovni šoli</w:t>
            </w:r>
          </w:p>
          <w:p w14:paraId="1ACA695E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Zakon o usmerjanju otrok in mladostnikov s posebnimi potreb</w:t>
            </w:r>
          </w:p>
          <w:p w14:paraId="62390972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Družinski zakonik</w:t>
            </w:r>
          </w:p>
          <w:p w14:paraId="412C5380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Zakon o šolski inšpekciji</w:t>
            </w:r>
          </w:p>
          <w:p w14:paraId="5C8C1D5B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Zakon o delovnih razmerjih</w:t>
            </w:r>
          </w:p>
          <w:p w14:paraId="064F0D52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Kolektivna pogodba za dejavnost vzgoje i izobraževanja v Republiki Sloveniji</w:t>
            </w:r>
          </w:p>
          <w:p w14:paraId="21BEAD6D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normativih in standardih za izvajanje vzgojno-izobraževalnih programov za otroke s posebnimi potrebami</w:t>
            </w:r>
          </w:p>
          <w:p w14:paraId="2B0FEFA3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merilih in metodologiji za določanje obsega sredstev za materialne stroške v zavodih za vzgojo in izobraževanje otrok in mladostnikov s posebnimi potrebami</w:t>
            </w:r>
          </w:p>
          <w:p w14:paraId="1D690D2B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organizaciji in povračilu prevoznih stroškov za prevoze otrok in mladostnikov s posebnimi potrebami</w:t>
            </w:r>
          </w:p>
          <w:p w14:paraId="622AF300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dodatni strokovni in fizični pomoči za otroke s posebnimi potrebami</w:t>
            </w:r>
          </w:p>
          <w:p w14:paraId="6F99B8EA" w14:textId="2CBA25FA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izobrazbi vzgojiteljev in drugih strokovnih delavcev v vzgojnem programu za vzgojo in izobraževanje otrok in mladostnikov s čustvenimi in vedenjskimi težavami in motnjami</w:t>
            </w:r>
          </w:p>
          <w:p w14:paraId="7757DDAB" w14:textId="77777777" w:rsidR="00B169B1" w:rsidRPr="00B169B1" w:rsidRDefault="00B169B1" w:rsidP="00B169B1">
            <w:pPr>
              <w:pStyle w:val="Default"/>
              <w:rPr>
                <w:rFonts w:ascii="Arial" w:hAnsi="Arial" w:cs="Arial"/>
              </w:rPr>
            </w:pPr>
          </w:p>
          <w:p w14:paraId="00DFE249" w14:textId="77777777" w:rsidR="00B169B1" w:rsidRPr="00B169B1" w:rsidRDefault="00B169B1" w:rsidP="00B169B1">
            <w:pPr>
              <w:pStyle w:val="Default"/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Glede na interno šolo:</w:t>
            </w:r>
          </w:p>
          <w:p w14:paraId="27F8B30F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 xml:space="preserve">Zakon o osnovni šoli </w:t>
            </w:r>
          </w:p>
          <w:p w14:paraId="0AFA0432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lastRenderedPageBreak/>
              <w:t>Pravilnik o preverjanju in ocenjevanju znanja ter napredovanju učencev v osnovni šoli</w:t>
            </w:r>
          </w:p>
          <w:p w14:paraId="347FA48E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šolskem koledarju za osnovne šole</w:t>
            </w:r>
          </w:p>
          <w:p w14:paraId="1FD8A821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zdravstveno - higienskih zahtevah, katerim morajo ustrezati poslopja in prostori osnovne šole</w:t>
            </w:r>
          </w:p>
          <w:p w14:paraId="55B6AF39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normativih za graditev in opremo osnovnih šol</w:t>
            </w:r>
          </w:p>
          <w:p w14:paraId="5C6D0CDD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zbiranju in varstvu osebnih podatkov na področju osnovnošolskega izobraževanja</w:t>
            </w:r>
          </w:p>
          <w:p w14:paraId="5E9352B3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Zakon o poklicnem in strokovnem izobraževanju</w:t>
            </w:r>
          </w:p>
          <w:p w14:paraId="54D883C1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preverjanju in o ocenjevanju znanja v srednjem izobraževanju</w:t>
            </w:r>
          </w:p>
          <w:p w14:paraId="11435E14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zaključnih izpitih v nižjem in srednje poklicnem izobraževanju</w:t>
            </w:r>
          </w:p>
          <w:p w14:paraId="607CEC5F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zaključnem izpitu</w:t>
            </w:r>
          </w:p>
          <w:p w14:paraId="3384E0D0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obrazcu spričevala o zaključnem izpitu</w:t>
            </w:r>
          </w:p>
          <w:p w14:paraId="0BB15F69" w14:textId="77777777" w:rsidR="00B169B1" w:rsidRPr="00B169B1" w:rsidRDefault="00B169B1" w:rsidP="00B169B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9B1">
              <w:rPr>
                <w:rFonts w:ascii="Arial" w:hAnsi="Arial" w:cs="Arial"/>
              </w:rPr>
              <w:t>Pravilnik o prilagoditvah šolskih obveznostih dijaku v srednji šoli</w:t>
            </w:r>
          </w:p>
          <w:p w14:paraId="0465E0A3" w14:textId="4A2516C1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 </w:t>
            </w:r>
          </w:p>
        </w:tc>
      </w:tr>
      <w:tr w:rsidR="00381C31" w:rsidRPr="00247E62" w14:paraId="581E9256" w14:textId="77777777" w:rsidTr="003C03D2">
        <w:trPr>
          <w:trHeight w:val="244"/>
        </w:trPr>
        <w:tc>
          <w:tcPr>
            <w:tcW w:w="4426" w:type="dxa"/>
            <w:gridSpan w:val="2"/>
          </w:tcPr>
          <w:p w14:paraId="41D57999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lastRenderedPageBreak/>
              <w:t xml:space="preserve">Predpisi lokalnih skupnosti: </w:t>
            </w:r>
          </w:p>
        </w:tc>
        <w:tc>
          <w:tcPr>
            <w:tcW w:w="5038" w:type="dxa"/>
          </w:tcPr>
          <w:p w14:paraId="35A6B946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/ </w:t>
            </w:r>
          </w:p>
        </w:tc>
      </w:tr>
      <w:tr w:rsidR="00381C31" w:rsidRPr="00247E62" w14:paraId="17B8BAFF" w14:textId="77777777" w:rsidTr="003C03D2">
        <w:trPr>
          <w:trHeight w:val="244"/>
        </w:trPr>
        <w:tc>
          <w:tcPr>
            <w:tcW w:w="4426" w:type="dxa"/>
            <w:gridSpan w:val="2"/>
          </w:tcPr>
          <w:p w14:paraId="27E0DA44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Predpisi EU: </w:t>
            </w:r>
          </w:p>
        </w:tc>
        <w:tc>
          <w:tcPr>
            <w:tcW w:w="5038" w:type="dxa"/>
          </w:tcPr>
          <w:p w14:paraId="5060415F" w14:textId="71F0209B" w:rsidR="00381C31" w:rsidRPr="00247E62" w:rsidRDefault="00B169B1">
            <w:pPr>
              <w:pStyle w:val="Default"/>
              <w:rPr>
                <w:rFonts w:ascii="Arial" w:hAnsi="Arial" w:cs="Arial"/>
                <w:color w:val="0462C1"/>
              </w:rPr>
            </w:pPr>
            <w:r w:rsidRPr="00247E62">
              <w:rPr>
                <w:rFonts w:ascii="Arial" w:hAnsi="Arial" w:cs="Arial"/>
              </w:rPr>
              <w:t>/</w:t>
            </w:r>
            <w:r w:rsidR="00381C31" w:rsidRPr="00247E62">
              <w:rPr>
                <w:rFonts w:ascii="Arial" w:hAnsi="Arial" w:cs="Arial"/>
                <w:color w:val="0462C1"/>
              </w:rPr>
              <w:t xml:space="preserve"> </w:t>
            </w:r>
          </w:p>
        </w:tc>
      </w:tr>
      <w:tr w:rsidR="00381C31" w:rsidRPr="00247E62" w14:paraId="54770162" w14:textId="77777777" w:rsidTr="003C03D2">
        <w:trPr>
          <w:trHeight w:val="110"/>
        </w:trPr>
        <w:tc>
          <w:tcPr>
            <w:tcW w:w="9464" w:type="dxa"/>
            <w:gridSpan w:val="3"/>
          </w:tcPr>
          <w:p w14:paraId="24EA882E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  <w:b/>
                <w:bCs/>
              </w:rPr>
              <w:t xml:space="preserve">2.d Seznam predlogov predpisov (preko državnega oziroma lokalnega registra predpisov) </w:t>
            </w:r>
          </w:p>
        </w:tc>
      </w:tr>
      <w:tr w:rsidR="00381C31" w:rsidRPr="00247E62" w14:paraId="10FABFDC" w14:textId="77777777" w:rsidTr="003C03D2">
        <w:trPr>
          <w:trHeight w:val="110"/>
        </w:trPr>
        <w:tc>
          <w:tcPr>
            <w:tcW w:w="4426" w:type="dxa"/>
            <w:gridSpan w:val="2"/>
          </w:tcPr>
          <w:p w14:paraId="747D010A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Predlogi predpisov: </w:t>
            </w:r>
          </w:p>
        </w:tc>
        <w:tc>
          <w:tcPr>
            <w:tcW w:w="5038" w:type="dxa"/>
          </w:tcPr>
          <w:p w14:paraId="7A9DC0CF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/ </w:t>
            </w:r>
          </w:p>
        </w:tc>
      </w:tr>
      <w:tr w:rsidR="00381C31" w:rsidRPr="00247E62" w14:paraId="38F7D9B5" w14:textId="77777777" w:rsidTr="003C03D2">
        <w:trPr>
          <w:trHeight w:val="110"/>
        </w:trPr>
        <w:tc>
          <w:tcPr>
            <w:tcW w:w="9464" w:type="dxa"/>
            <w:gridSpan w:val="3"/>
          </w:tcPr>
          <w:p w14:paraId="7E9F1BBB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  <w:b/>
                <w:bCs/>
              </w:rPr>
              <w:t xml:space="preserve">2.e Seznam strateških in programskih dokumentov po vsebinskih sklopih </w:t>
            </w:r>
          </w:p>
        </w:tc>
      </w:tr>
      <w:tr w:rsidR="00381C31" w:rsidRPr="00247E62" w14:paraId="1C79EBB4" w14:textId="77777777" w:rsidTr="003C03D2">
        <w:trPr>
          <w:trHeight w:val="379"/>
        </w:trPr>
        <w:tc>
          <w:tcPr>
            <w:tcW w:w="4426" w:type="dxa"/>
            <w:gridSpan w:val="2"/>
          </w:tcPr>
          <w:p w14:paraId="1767C980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Seznam dokumentov: </w:t>
            </w:r>
          </w:p>
        </w:tc>
        <w:tc>
          <w:tcPr>
            <w:tcW w:w="5038" w:type="dxa"/>
          </w:tcPr>
          <w:p w14:paraId="2A8FD9A7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Letni delovni načrt za tekoče šolsko leto. </w:t>
            </w:r>
          </w:p>
          <w:p w14:paraId="6B9DB6C7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Finančni načrt zavoda. </w:t>
            </w:r>
          </w:p>
        </w:tc>
      </w:tr>
      <w:tr w:rsidR="00381C31" w:rsidRPr="00247E62" w14:paraId="10498A76" w14:textId="77777777" w:rsidTr="003C03D2">
        <w:trPr>
          <w:trHeight w:val="110"/>
        </w:trPr>
        <w:tc>
          <w:tcPr>
            <w:tcW w:w="9464" w:type="dxa"/>
            <w:gridSpan w:val="3"/>
          </w:tcPr>
          <w:p w14:paraId="0C54122A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  <w:b/>
                <w:bCs/>
              </w:rPr>
              <w:t xml:space="preserve">2.f Seznam vrst upravnih, sodnih ali zakonodajnih postopkov </w:t>
            </w:r>
          </w:p>
        </w:tc>
      </w:tr>
      <w:tr w:rsidR="00381C31" w:rsidRPr="00247E62" w14:paraId="29D0E8A5" w14:textId="77777777" w:rsidTr="003C03D2">
        <w:trPr>
          <w:trHeight w:val="1318"/>
        </w:trPr>
        <w:tc>
          <w:tcPr>
            <w:tcW w:w="4426" w:type="dxa"/>
            <w:gridSpan w:val="2"/>
          </w:tcPr>
          <w:p w14:paraId="705182FE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Vrste postopkov, ki jih vodi organ: </w:t>
            </w:r>
          </w:p>
        </w:tc>
        <w:tc>
          <w:tcPr>
            <w:tcW w:w="5038" w:type="dxa"/>
          </w:tcPr>
          <w:p w14:paraId="021B37F9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Postopek imenovanja ravnatelja; </w:t>
            </w:r>
          </w:p>
          <w:p w14:paraId="693EFBEF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Postopek registracije zavoda in vpisa sprememb v SR; </w:t>
            </w:r>
          </w:p>
          <w:p w14:paraId="3053EDAC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Izvedba volitev predstavnikov zaposlenih v svet zavoda; </w:t>
            </w:r>
          </w:p>
          <w:p w14:paraId="1ED1B4E8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Odločanje o pritožbah; </w:t>
            </w:r>
          </w:p>
          <w:p w14:paraId="6E15DE74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Sprejemanje internih aktov; </w:t>
            </w:r>
          </w:p>
          <w:p w14:paraId="5803EE7E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Sprejemanje programskih dokumentov zavoda; </w:t>
            </w:r>
          </w:p>
          <w:p w14:paraId="29E13669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Napredovanje strokovnih delavcev v nazive in vseh zaposlenih v plačne razrede; </w:t>
            </w:r>
          </w:p>
          <w:p w14:paraId="3FF11D6E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Vpis oz. namestitve mladostnikov v vzgojne oblike delovanja zavoda; </w:t>
            </w:r>
          </w:p>
          <w:p w14:paraId="2002E326" w14:textId="42CC7BC6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Razpisi Strokovnega centra </w:t>
            </w:r>
            <w:r w:rsidR="00B169B1" w:rsidRPr="00247E62">
              <w:rPr>
                <w:rFonts w:ascii="Arial" w:hAnsi="Arial" w:cs="Arial"/>
              </w:rPr>
              <w:t>Višnja Gora</w:t>
            </w:r>
            <w:r w:rsidR="00C12B0E" w:rsidRPr="00247E62">
              <w:rPr>
                <w:rFonts w:ascii="Arial" w:hAnsi="Arial" w:cs="Arial"/>
              </w:rPr>
              <w:t>.</w:t>
            </w:r>
            <w:r w:rsidRPr="00247E62">
              <w:rPr>
                <w:rFonts w:ascii="Arial" w:hAnsi="Arial" w:cs="Arial"/>
              </w:rPr>
              <w:t xml:space="preserve"> </w:t>
            </w:r>
          </w:p>
        </w:tc>
      </w:tr>
      <w:tr w:rsidR="00381C31" w:rsidRPr="00247E62" w14:paraId="328CE95E" w14:textId="77777777" w:rsidTr="003C03D2">
        <w:trPr>
          <w:trHeight w:val="110"/>
        </w:trPr>
        <w:tc>
          <w:tcPr>
            <w:tcW w:w="9464" w:type="dxa"/>
            <w:gridSpan w:val="3"/>
          </w:tcPr>
          <w:p w14:paraId="4E79D27D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  <w:b/>
                <w:bCs/>
              </w:rPr>
              <w:t xml:space="preserve">2.g Seznam javnih evidenc, s katerimi organ upravlja </w:t>
            </w:r>
          </w:p>
        </w:tc>
      </w:tr>
      <w:tr w:rsidR="00381C31" w:rsidRPr="00247E62" w14:paraId="6370943C" w14:textId="77777777" w:rsidTr="003C03D2">
        <w:trPr>
          <w:trHeight w:val="647"/>
        </w:trPr>
        <w:tc>
          <w:tcPr>
            <w:tcW w:w="4426" w:type="dxa"/>
            <w:gridSpan w:val="2"/>
          </w:tcPr>
          <w:p w14:paraId="62E17A76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lastRenderedPageBreak/>
              <w:t xml:space="preserve">Seznam evidenc: </w:t>
            </w:r>
          </w:p>
        </w:tc>
        <w:tc>
          <w:tcPr>
            <w:tcW w:w="5038" w:type="dxa"/>
          </w:tcPr>
          <w:p w14:paraId="7F23ED5C" w14:textId="77777777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Evidenca zaposlenih delavcev; </w:t>
            </w:r>
          </w:p>
          <w:p w14:paraId="2055E33A" w14:textId="3835FBFD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Evidenca o bolniških staležih </w:t>
            </w:r>
            <w:r w:rsidR="00B169B1" w:rsidRPr="00247E62">
              <w:rPr>
                <w:rFonts w:ascii="Arial" w:hAnsi="Arial" w:cs="Arial"/>
              </w:rPr>
              <w:t xml:space="preserve">in dopustih </w:t>
            </w:r>
            <w:r w:rsidRPr="00247E62">
              <w:rPr>
                <w:rFonts w:ascii="Arial" w:hAnsi="Arial" w:cs="Arial"/>
              </w:rPr>
              <w:t xml:space="preserve">zaposlenih; </w:t>
            </w:r>
          </w:p>
          <w:p w14:paraId="19FAE4D7" w14:textId="503E4AA3" w:rsidR="00381C3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 xml:space="preserve">- Evidenca otrok in mladostnikov; </w:t>
            </w:r>
          </w:p>
          <w:p w14:paraId="1F6406E4" w14:textId="77777777" w:rsidR="00B169B1" w:rsidRPr="00247E62" w:rsidRDefault="00381C3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- Evidenca o plačah zaposlenih delavcev</w:t>
            </w:r>
            <w:r w:rsidR="00B169B1" w:rsidRPr="00247E62">
              <w:rPr>
                <w:rFonts w:ascii="Arial" w:hAnsi="Arial" w:cs="Arial"/>
              </w:rPr>
              <w:t>;</w:t>
            </w:r>
          </w:p>
          <w:p w14:paraId="4929CB7F" w14:textId="70DDF2DC" w:rsidR="00381C31" w:rsidRPr="00247E62" w:rsidRDefault="00B169B1">
            <w:pPr>
              <w:pStyle w:val="Default"/>
              <w:rPr>
                <w:rFonts w:ascii="Arial" w:hAnsi="Arial" w:cs="Arial"/>
              </w:rPr>
            </w:pPr>
            <w:r w:rsidRPr="00247E62">
              <w:rPr>
                <w:rFonts w:ascii="Arial" w:hAnsi="Arial" w:cs="Arial"/>
              </w:rPr>
              <w:t>- Evidenca o obravnavah mobilne službe</w:t>
            </w:r>
            <w:r w:rsidR="00381C31" w:rsidRPr="00247E62">
              <w:rPr>
                <w:rFonts w:ascii="Arial" w:hAnsi="Arial" w:cs="Arial"/>
              </w:rPr>
              <w:t xml:space="preserve">. </w:t>
            </w:r>
          </w:p>
        </w:tc>
      </w:tr>
      <w:tr w:rsidR="00381C31" w:rsidRPr="00381C31" w14:paraId="58D21BD3" w14:textId="77777777" w:rsidTr="003C03D2">
        <w:trPr>
          <w:trHeight w:val="110"/>
        </w:trPr>
        <w:tc>
          <w:tcPr>
            <w:tcW w:w="9464" w:type="dxa"/>
            <w:gridSpan w:val="3"/>
          </w:tcPr>
          <w:p w14:paraId="38DEDD07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  <w:b/>
                <w:bCs/>
              </w:rPr>
              <w:t xml:space="preserve">2.h Seznam drugih informatiziranih zbirk podatkov </w:t>
            </w:r>
          </w:p>
        </w:tc>
      </w:tr>
      <w:tr w:rsidR="00381C31" w:rsidRPr="00381C31" w14:paraId="1044F398" w14:textId="77777777" w:rsidTr="003C03D2">
        <w:trPr>
          <w:trHeight w:val="110"/>
        </w:trPr>
        <w:tc>
          <w:tcPr>
            <w:tcW w:w="4426" w:type="dxa"/>
            <w:gridSpan w:val="2"/>
          </w:tcPr>
          <w:p w14:paraId="0F825608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Seznam zbirk: </w:t>
            </w:r>
          </w:p>
        </w:tc>
        <w:tc>
          <w:tcPr>
            <w:tcW w:w="5038" w:type="dxa"/>
          </w:tcPr>
          <w:p w14:paraId="162B255C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- Popis nepremičnin in premoženjskega stanja zavoda. </w:t>
            </w:r>
          </w:p>
        </w:tc>
      </w:tr>
      <w:tr w:rsidR="00381C31" w:rsidRPr="00381C31" w14:paraId="39179427" w14:textId="77777777" w:rsidTr="003C03D2">
        <w:trPr>
          <w:trHeight w:val="249"/>
        </w:trPr>
        <w:tc>
          <w:tcPr>
            <w:tcW w:w="9464" w:type="dxa"/>
            <w:gridSpan w:val="3"/>
          </w:tcPr>
          <w:p w14:paraId="4041D866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  <w:b/>
                <w:bCs/>
              </w:rPr>
              <w:t xml:space="preserve">2.i Najpomembnejši vsebinski sklopi drugih informacij javnega značaja oziroma seznam posameznih dokumentov </w:t>
            </w:r>
          </w:p>
        </w:tc>
      </w:tr>
      <w:tr w:rsidR="00381C31" w:rsidRPr="00381C31" w14:paraId="2E802F72" w14:textId="77777777" w:rsidTr="003C03D2">
        <w:trPr>
          <w:trHeight w:val="379"/>
        </w:trPr>
        <w:tc>
          <w:tcPr>
            <w:tcW w:w="9464" w:type="dxa"/>
            <w:gridSpan w:val="3"/>
          </w:tcPr>
          <w:p w14:paraId="589B6080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- Urniki vzgojnih in stanovanjskih skupin; </w:t>
            </w:r>
          </w:p>
          <w:p w14:paraId="5BD20183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- Šolski koledar; </w:t>
            </w:r>
          </w:p>
          <w:p w14:paraId="2290F7D3" w14:textId="39B529FB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- Cenik. </w:t>
            </w:r>
          </w:p>
        </w:tc>
      </w:tr>
      <w:tr w:rsidR="00381C31" w:rsidRPr="00381C31" w14:paraId="1CA8AAB6" w14:textId="77777777" w:rsidTr="003C03D2">
        <w:trPr>
          <w:trHeight w:val="110"/>
        </w:trPr>
        <w:tc>
          <w:tcPr>
            <w:tcW w:w="9464" w:type="dxa"/>
            <w:gridSpan w:val="3"/>
          </w:tcPr>
          <w:p w14:paraId="06A9016F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  <w:b/>
                <w:bCs/>
              </w:rPr>
              <w:t xml:space="preserve">3. Opis načina dostopa do drugih informacij javnega značaja </w:t>
            </w:r>
          </w:p>
        </w:tc>
      </w:tr>
      <w:tr w:rsidR="00381C31" w:rsidRPr="00381C31" w14:paraId="00143D30" w14:textId="77777777" w:rsidTr="003C03D2">
        <w:trPr>
          <w:trHeight w:val="915"/>
        </w:trPr>
        <w:tc>
          <w:tcPr>
            <w:tcW w:w="4426" w:type="dxa"/>
            <w:gridSpan w:val="2"/>
          </w:tcPr>
          <w:p w14:paraId="0DA9C21D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Opis dostopa do posameznih sklopov informacij: </w:t>
            </w:r>
          </w:p>
        </w:tc>
        <w:tc>
          <w:tcPr>
            <w:tcW w:w="5038" w:type="dxa"/>
          </w:tcPr>
          <w:p w14:paraId="44889CA4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Dostop prek spleta </w:t>
            </w:r>
          </w:p>
          <w:p w14:paraId="5E296143" w14:textId="715870DB" w:rsidR="00C12B0E" w:rsidRPr="00247E62" w:rsidRDefault="00CF383B" w:rsidP="00381C31">
            <w:pPr>
              <w:rPr>
                <w:rFonts w:ascii="Arial" w:hAnsi="Arial" w:cs="Arial"/>
              </w:rPr>
            </w:pPr>
            <w:hyperlink r:id="rId5" w:history="1">
              <w:r w:rsidR="00C12B0E" w:rsidRPr="00247E62">
                <w:rPr>
                  <w:rStyle w:val="Hiperpovezava"/>
                  <w:rFonts w:ascii="Arial" w:hAnsi="Arial" w:cs="Arial"/>
                </w:rPr>
                <w:t>https://www.vizvisnjagora.si/</w:t>
              </w:r>
            </w:hyperlink>
          </w:p>
          <w:p w14:paraId="1243E736" w14:textId="67630E53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Fizični dostop </w:t>
            </w:r>
          </w:p>
          <w:p w14:paraId="5209CEE5" w14:textId="0A2124B9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Na lokaciji zavoda: </w:t>
            </w:r>
            <w:r w:rsidR="00C12B0E" w:rsidRPr="00247E62">
              <w:rPr>
                <w:rFonts w:ascii="Arial" w:hAnsi="Arial" w:cs="Arial"/>
              </w:rPr>
              <w:t>Cesta Dolenjskega odreda 19, 1294 Višnja Gora</w:t>
            </w:r>
          </w:p>
          <w:p w14:paraId="5D52FD95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Uradne ure: </w:t>
            </w:r>
          </w:p>
          <w:p w14:paraId="53D72787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– ponedeljek, sreda, petek: od 9. do 12. ure </w:t>
            </w:r>
          </w:p>
        </w:tc>
      </w:tr>
      <w:tr w:rsidR="00381C31" w:rsidRPr="00381C31" w14:paraId="6A9BAB41" w14:textId="77777777" w:rsidTr="003C03D2">
        <w:trPr>
          <w:trHeight w:val="110"/>
        </w:trPr>
        <w:tc>
          <w:tcPr>
            <w:tcW w:w="9464" w:type="dxa"/>
            <w:gridSpan w:val="3"/>
          </w:tcPr>
          <w:p w14:paraId="237C176E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  <w:b/>
                <w:bCs/>
              </w:rPr>
              <w:t xml:space="preserve">4. Seznam najpogosteje zahtevanih informacij javnega značaja </w:t>
            </w:r>
          </w:p>
        </w:tc>
      </w:tr>
      <w:tr w:rsidR="00381C31" w:rsidRPr="00381C31" w14:paraId="544EF0C6" w14:textId="77777777" w:rsidTr="003C03D2">
        <w:trPr>
          <w:trHeight w:val="379"/>
        </w:trPr>
        <w:tc>
          <w:tcPr>
            <w:tcW w:w="4426" w:type="dxa"/>
            <w:gridSpan w:val="2"/>
          </w:tcPr>
          <w:p w14:paraId="7105D159" w14:textId="77777777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Seznam najpogosteje zahtevanih informacij oz. tematskih sklopov: </w:t>
            </w:r>
          </w:p>
        </w:tc>
        <w:tc>
          <w:tcPr>
            <w:tcW w:w="5038" w:type="dxa"/>
          </w:tcPr>
          <w:p w14:paraId="073D4363" w14:textId="1B75C7C9" w:rsidR="00381C31" w:rsidRPr="00381C31" w:rsidRDefault="003C03D2" w:rsidP="00381C31">
            <w:pPr>
              <w:rPr>
                <w:rFonts w:ascii="Arial" w:hAnsi="Arial" w:cs="Arial"/>
              </w:rPr>
            </w:pPr>
            <w:r w:rsidRPr="003C03D2">
              <w:rPr>
                <w:rFonts w:ascii="Arial" w:hAnsi="Arial" w:cs="Arial"/>
              </w:rPr>
              <w:t>Zaradi majhnega števila zahtev po informacijah javnega značaja takega seznama ni mogoče oblikovati.</w:t>
            </w:r>
          </w:p>
        </w:tc>
      </w:tr>
      <w:tr w:rsidR="00381C31" w:rsidRPr="00381C31" w14:paraId="54BB5EC3" w14:textId="77777777" w:rsidTr="003C03D2">
        <w:trPr>
          <w:trHeight w:val="916"/>
        </w:trPr>
        <w:tc>
          <w:tcPr>
            <w:tcW w:w="9464" w:type="dxa"/>
            <w:gridSpan w:val="3"/>
          </w:tcPr>
          <w:p w14:paraId="7377C487" w14:textId="19933E9F" w:rsidR="00381C31" w:rsidRPr="00381C31" w:rsidRDefault="00381C31" w:rsidP="00381C31">
            <w:pPr>
              <w:rPr>
                <w:rFonts w:ascii="Arial" w:hAnsi="Arial" w:cs="Arial"/>
              </w:rPr>
            </w:pPr>
            <w:r w:rsidRPr="00381C31">
              <w:rPr>
                <w:rFonts w:ascii="Arial" w:hAnsi="Arial" w:cs="Arial"/>
              </w:rPr>
              <w:t xml:space="preserve">Po 30. členu Zakona o obravnavi otrok in mladostnikov s čustvenimi in vedenjskimi težavami in motnjami v vzgoji in izobraževanju (ZOOMTVI) ima Strokovni center </w:t>
            </w:r>
            <w:r w:rsidR="00C12B0E" w:rsidRPr="00247E62">
              <w:rPr>
                <w:rFonts w:ascii="Arial" w:hAnsi="Arial" w:cs="Arial"/>
              </w:rPr>
              <w:t>Višnja Gora</w:t>
            </w:r>
            <w:r w:rsidRPr="00381C31">
              <w:rPr>
                <w:rFonts w:ascii="Arial" w:hAnsi="Arial" w:cs="Arial"/>
              </w:rPr>
              <w:t xml:space="preserve"> imenovano pritožbeno komisijo. Če otrok ali mladostnik (oziroma njegovi starši ali zakoniti zastopniki) meni(jo), da so bile pri prebivanju ali vzgojnem delovanju v strokovnem centru kršene njegove pravice, lahko v osmih dneh od dneva, ko je izvedel za kršitev, poda pisno ali ustno na zapisnik zahtevo za varstvo pravic ravnatelj</w:t>
            </w:r>
            <w:r w:rsidR="00C12B0E" w:rsidRPr="00247E62">
              <w:rPr>
                <w:rFonts w:ascii="Arial" w:hAnsi="Arial" w:cs="Arial"/>
              </w:rPr>
              <w:t>ici</w:t>
            </w:r>
            <w:r w:rsidRPr="00381C31">
              <w:rPr>
                <w:rFonts w:ascii="Arial" w:hAnsi="Arial" w:cs="Arial"/>
              </w:rPr>
              <w:t xml:space="preserve"> strokovnega centra. Zahtevo lahko poda na naslov </w:t>
            </w:r>
            <w:r w:rsidR="00C12B0E" w:rsidRPr="00247E62">
              <w:rPr>
                <w:rFonts w:ascii="Arial" w:hAnsi="Arial" w:cs="Arial"/>
              </w:rPr>
              <w:t>tajnistvo-vizvgora@guest.arnes.si</w:t>
            </w:r>
            <w:r w:rsidRPr="00381C31">
              <w:rPr>
                <w:rFonts w:ascii="Arial" w:hAnsi="Arial" w:cs="Arial"/>
              </w:rPr>
              <w:t xml:space="preserve"> ali pokliče </w:t>
            </w:r>
            <w:r w:rsidR="00C12B0E" w:rsidRPr="00247E62">
              <w:rPr>
                <w:rFonts w:ascii="Arial" w:hAnsi="Arial" w:cs="Arial"/>
              </w:rPr>
              <w:t>01 7887 824</w:t>
            </w:r>
            <w:r w:rsidRPr="00381C31">
              <w:rPr>
                <w:rFonts w:ascii="Arial" w:hAnsi="Arial" w:cs="Arial"/>
              </w:rPr>
              <w:t xml:space="preserve">. </w:t>
            </w:r>
          </w:p>
        </w:tc>
      </w:tr>
    </w:tbl>
    <w:p w14:paraId="4B4E4FCF" w14:textId="77777777" w:rsidR="004C63B7" w:rsidRPr="00247E62" w:rsidRDefault="004C63B7">
      <w:pPr>
        <w:rPr>
          <w:rFonts w:ascii="Arial" w:hAnsi="Arial" w:cs="Arial"/>
        </w:rPr>
      </w:pPr>
    </w:p>
    <w:sectPr w:rsidR="004C63B7" w:rsidRPr="0024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421F"/>
    <w:multiLevelType w:val="hybridMultilevel"/>
    <w:tmpl w:val="F7C0026A"/>
    <w:lvl w:ilvl="0" w:tplc="FB14D8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31"/>
    <w:rsid w:val="000368C8"/>
    <w:rsid w:val="00247E62"/>
    <w:rsid w:val="00334616"/>
    <w:rsid w:val="00381C31"/>
    <w:rsid w:val="003C03D2"/>
    <w:rsid w:val="004C63B7"/>
    <w:rsid w:val="00815DB1"/>
    <w:rsid w:val="00A310A1"/>
    <w:rsid w:val="00B169B1"/>
    <w:rsid w:val="00BD12FF"/>
    <w:rsid w:val="00C12B0E"/>
    <w:rsid w:val="00CF383B"/>
    <w:rsid w:val="00ED57FD"/>
    <w:rsid w:val="00F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D666"/>
  <w15:chartTrackingRefBased/>
  <w15:docId w15:val="{EBE9387F-EA90-4259-B6E0-DE4B3984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81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8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81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81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81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81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81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81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81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81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81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81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81C3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81C3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81C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81C3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81C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81C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81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8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81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81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8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81C3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81C3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81C3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81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81C3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81C3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81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iperpovezava">
    <w:name w:val="Hyperlink"/>
    <w:basedOn w:val="Privzetapisavaodstavka"/>
    <w:uiPriority w:val="99"/>
    <w:unhideWhenUsed/>
    <w:rsid w:val="00C12B0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12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zvisnjagora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Đogič</dc:creator>
  <cp:keywords/>
  <dc:description/>
  <cp:lastModifiedBy>Primož Ogris</cp:lastModifiedBy>
  <cp:revision>6</cp:revision>
  <cp:lastPrinted>2025-05-06T10:08:00Z</cp:lastPrinted>
  <dcterms:created xsi:type="dcterms:W3CDTF">2025-05-06T07:52:00Z</dcterms:created>
  <dcterms:modified xsi:type="dcterms:W3CDTF">2025-05-09T09:19:00Z</dcterms:modified>
</cp:coreProperties>
</file>